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0F" w:rsidRDefault="0017362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ZPRÁVA A FINANČNÍ VYPOŘÁDÁNÍ DOTACE</w:t>
      </w:r>
    </w:p>
    <w:p w:rsidR="002B730F" w:rsidRDefault="0017362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ZA ROK 2025</w:t>
      </w:r>
    </w:p>
    <w:p w:rsidR="002B730F" w:rsidRDefault="002B730F">
      <w:pPr>
        <w:spacing w:after="0"/>
        <w:jc w:val="center"/>
        <w:rPr>
          <w:b/>
          <w:sz w:val="28"/>
          <w:szCs w:val="28"/>
        </w:rPr>
      </w:pPr>
    </w:p>
    <w:p w:rsidR="002B730F" w:rsidRDefault="0017362F">
      <w:pPr>
        <w:spacing w:after="0" w:line="360" w:lineRule="auto"/>
        <w:rPr>
          <w:b/>
        </w:rPr>
      </w:pPr>
      <w:r>
        <w:rPr>
          <w:b/>
        </w:rPr>
        <w:t>1. Název organizace:</w:t>
      </w:r>
    </w:p>
    <w:tbl>
      <w:tblPr>
        <w:tblW w:w="7337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7337"/>
      </w:tblGrid>
      <w:tr w:rsidR="002B730F"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Společný život</w:t>
            </w:r>
          </w:p>
        </w:tc>
      </w:tr>
    </w:tbl>
    <w:p w:rsidR="002B730F" w:rsidRDefault="002B730F">
      <w:pPr>
        <w:spacing w:after="0" w:line="360" w:lineRule="auto"/>
        <w:rPr>
          <w:b/>
        </w:rPr>
      </w:pPr>
    </w:p>
    <w:p w:rsidR="002B730F" w:rsidRDefault="0017362F">
      <w:pPr>
        <w:spacing w:after="0" w:line="360" w:lineRule="auto"/>
        <w:rPr>
          <w:b/>
        </w:rPr>
      </w:pPr>
      <w:r>
        <w:rPr>
          <w:b/>
        </w:rPr>
        <w:t>2. Adresa:</w:t>
      </w:r>
    </w:p>
    <w:tbl>
      <w:tblPr>
        <w:tblW w:w="7403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1590"/>
        <w:gridCol w:w="5813"/>
      </w:tblGrid>
      <w:tr w:rsidR="002B730F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Obec: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Meziboří</w:t>
            </w:r>
          </w:p>
        </w:tc>
      </w:tr>
      <w:tr w:rsidR="002B730F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Část obce: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/</w:t>
            </w:r>
          </w:p>
        </w:tc>
      </w:tr>
      <w:tr w:rsidR="002B730F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PSČ: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435 13</w:t>
            </w:r>
          </w:p>
        </w:tc>
      </w:tr>
      <w:tr w:rsidR="002B730F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Ulice a č. p.: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Pod strání 170</w:t>
            </w:r>
          </w:p>
        </w:tc>
      </w:tr>
    </w:tbl>
    <w:p w:rsidR="002B730F" w:rsidRDefault="002B730F">
      <w:pPr>
        <w:spacing w:after="0" w:line="360" w:lineRule="auto"/>
      </w:pPr>
    </w:p>
    <w:p w:rsidR="002B730F" w:rsidRDefault="0017362F">
      <w:pPr>
        <w:spacing w:after="0" w:line="360" w:lineRule="auto"/>
        <w:rPr>
          <w:b/>
        </w:rPr>
      </w:pPr>
      <w:r>
        <w:rPr>
          <w:b/>
        </w:rPr>
        <w:t>3. IČ organizace:</w:t>
      </w:r>
    </w:p>
    <w:tbl>
      <w:tblPr>
        <w:tblW w:w="7337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7337"/>
      </w:tblGrid>
      <w:tr w:rsidR="002B730F"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266 13 468</w:t>
            </w:r>
          </w:p>
        </w:tc>
      </w:tr>
    </w:tbl>
    <w:p w:rsidR="002B730F" w:rsidRDefault="002B730F">
      <w:pPr>
        <w:spacing w:after="0" w:line="360" w:lineRule="auto"/>
      </w:pPr>
    </w:p>
    <w:p w:rsidR="002B730F" w:rsidRDefault="0017362F">
      <w:pPr>
        <w:spacing w:after="0" w:line="360" w:lineRule="auto"/>
        <w:rPr>
          <w:b/>
        </w:rPr>
      </w:pPr>
      <w:r>
        <w:rPr>
          <w:b/>
        </w:rPr>
        <w:t>4. Statutární orgán (statutární zástupce</w:t>
      </w:r>
      <w:r>
        <w:rPr>
          <w:b/>
        </w:rPr>
        <w:t xml:space="preserve"> organizace):</w:t>
      </w:r>
    </w:p>
    <w:tbl>
      <w:tblPr>
        <w:tblW w:w="889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551"/>
        <w:gridCol w:w="6345"/>
      </w:tblGrid>
      <w:tr w:rsidR="002B730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pStyle w:val="Odstavecseseznamem"/>
              <w:spacing w:after="0" w:line="360" w:lineRule="auto"/>
              <w:ind w:left="0"/>
            </w:pPr>
            <w:r>
              <w:t>Jméno, příjmení, titul: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pStyle w:val="Odstavecseseznamem"/>
              <w:spacing w:after="0" w:line="360" w:lineRule="auto"/>
              <w:ind w:left="0"/>
            </w:pPr>
            <w:r>
              <w:t>Ondřej Kocur</w:t>
            </w:r>
          </w:p>
        </w:tc>
      </w:tr>
      <w:tr w:rsidR="002B730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pStyle w:val="Odstavecseseznamem"/>
              <w:spacing w:after="0" w:line="360" w:lineRule="auto"/>
              <w:ind w:left="0"/>
            </w:pPr>
            <w:r>
              <w:t>Jméno, příjmení, titul: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2B730F">
            <w:pPr>
              <w:pStyle w:val="Odstavecseseznamem"/>
              <w:spacing w:after="0" w:line="360" w:lineRule="auto"/>
              <w:ind w:left="0"/>
            </w:pPr>
          </w:p>
        </w:tc>
      </w:tr>
      <w:tr w:rsidR="002B730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2B730F">
            <w:pPr>
              <w:pStyle w:val="Odstavecseseznamem"/>
              <w:spacing w:after="0" w:line="360" w:lineRule="auto"/>
              <w:ind w:left="0"/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2B730F">
            <w:pPr>
              <w:pStyle w:val="Odstavecseseznamem"/>
              <w:spacing w:after="0" w:line="360" w:lineRule="auto"/>
              <w:ind w:left="0"/>
            </w:pPr>
          </w:p>
        </w:tc>
      </w:tr>
      <w:tr w:rsidR="002B730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2B730F">
            <w:pPr>
              <w:pStyle w:val="Odstavecseseznamem"/>
              <w:spacing w:after="0" w:line="360" w:lineRule="auto"/>
              <w:ind w:left="0"/>
            </w:pP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2B730F">
            <w:pPr>
              <w:pStyle w:val="Odstavecseseznamem"/>
              <w:spacing w:after="0" w:line="360" w:lineRule="auto"/>
              <w:ind w:left="0"/>
            </w:pPr>
          </w:p>
        </w:tc>
      </w:tr>
    </w:tbl>
    <w:p w:rsidR="002B730F" w:rsidRDefault="002B730F">
      <w:pPr>
        <w:spacing w:after="0"/>
      </w:pPr>
    </w:p>
    <w:p w:rsidR="002B730F" w:rsidRDefault="0017362F">
      <w:pPr>
        <w:spacing w:after="0"/>
        <w:jc w:val="both"/>
      </w:pPr>
      <w:r>
        <w:t xml:space="preserve">K  Závěrečné zprávě a finančnímu vypořádání přiložte </w:t>
      </w:r>
      <w:proofErr w:type="spellStart"/>
      <w:r>
        <w:t>excelovou</w:t>
      </w:r>
      <w:proofErr w:type="spellEnd"/>
      <w:r>
        <w:t xml:space="preserve"> tabulku Finanční vypořádání dotace. </w:t>
      </w:r>
    </w:p>
    <w:p w:rsidR="002B730F" w:rsidRDefault="002B730F">
      <w:pPr>
        <w:spacing w:after="0"/>
        <w:jc w:val="both"/>
      </w:pPr>
    </w:p>
    <w:p w:rsidR="002B730F" w:rsidRDefault="0017362F">
      <w:pPr>
        <w:spacing w:after="0"/>
        <w:jc w:val="both"/>
      </w:pPr>
      <w:r>
        <w:t xml:space="preserve">Vyplněné formuláře závěrečné zprávy a finančního vypořádání dotace </w:t>
      </w:r>
      <w:r>
        <w:t xml:space="preserve">musí žadatel předložit poskytovateli nejpozději do termínu </w:t>
      </w:r>
      <w:proofErr w:type="gramStart"/>
      <w:r>
        <w:t>uvedeném</w:t>
      </w:r>
      <w:proofErr w:type="gramEnd"/>
      <w:r>
        <w:t xml:space="preserve"> ve veřejnoprávní smlouvě a zároveň zveřejnit na webových stránkách příjemce. (Od </w:t>
      </w:r>
      <w:proofErr w:type="gramStart"/>
      <w:r>
        <w:t>01.07.2024</w:t>
      </w:r>
      <w:proofErr w:type="gramEnd"/>
      <w:r>
        <w:t xml:space="preserve"> nová povinnost pro příjemce dotací, a to zveřejnění vyúčtování s přehledem výdajů hrazených z do</w:t>
      </w:r>
      <w:r>
        <w:t>tace na svých webových stránkách.)</w:t>
      </w:r>
    </w:p>
    <w:p w:rsidR="002B730F" w:rsidRDefault="002B730F">
      <w:pPr>
        <w:spacing w:after="0"/>
        <w:jc w:val="both"/>
      </w:pPr>
    </w:p>
    <w:p w:rsidR="002B730F" w:rsidRDefault="0017362F">
      <w:pPr>
        <w:spacing w:after="0"/>
        <w:rPr>
          <w:b/>
        </w:rPr>
      </w:pPr>
      <w:r>
        <w:rPr>
          <w:b/>
        </w:rPr>
        <w:t>Potvrzení správnosti a pravdivosti údajů uvedených ve vyúčtování neinvestiční dotace za rok 2025</w:t>
      </w:r>
    </w:p>
    <w:p w:rsidR="002B730F" w:rsidRDefault="0017362F">
      <w:pPr>
        <w:spacing w:after="100"/>
      </w:pPr>
      <w:r>
        <w:t>Jméno a příjmení:   Ondřej Kocur</w:t>
      </w:r>
    </w:p>
    <w:p w:rsidR="002B730F" w:rsidRDefault="0017362F">
      <w:pPr>
        <w:spacing w:after="100"/>
      </w:pPr>
      <w:r>
        <w:t xml:space="preserve">Datum vyhotovení: </w:t>
      </w:r>
      <w:proofErr w:type="gramStart"/>
      <w:r>
        <w:t>16.3.2026</w:t>
      </w:r>
      <w:proofErr w:type="gramEnd"/>
    </w:p>
    <w:p w:rsidR="002B730F" w:rsidRDefault="0017362F">
      <w:pPr>
        <w:spacing w:after="100"/>
      </w:pPr>
      <w:r>
        <w:t>Podpis a razítko organizace:</w:t>
      </w:r>
    </w:p>
    <w:p w:rsidR="002B730F" w:rsidRDefault="002B730F">
      <w:pPr>
        <w:spacing w:after="0"/>
      </w:pPr>
    </w:p>
    <w:p w:rsidR="002B730F" w:rsidRDefault="002B730F">
      <w:pPr>
        <w:spacing w:after="0"/>
        <w:jc w:val="right"/>
      </w:pPr>
    </w:p>
    <w:p w:rsidR="002B730F" w:rsidRDefault="002B730F">
      <w:pPr>
        <w:spacing w:after="0"/>
        <w:jc w:val="right"/>
      </w:pPr>
    </w:p>
    <w:p w:rsidR="002B730F" w:rsidRDefault="002B730F">
      <w:pPr>
        <w:spacing w:after="0"/>
        <w:jc w:val="right"/>
      </w:pPr>
    </w:p>
    <w:p w:rsidR="002B730F" w:rsidRDefault="002B730F">
      <w:pPr>
        <w:spacing w:after="0"/>
        <w:jc w:val="right"/>
      </w:pPr>
    </w:p>
    <w:p w:rsidR="002B730F" w:rsidRDefault="002B730F">
      <w:pPr>
        <w:spacing w:after="0"/>
        <w:jc w:val="right"/>
      </w:pPr>
    </w:p>
    <w:p w:rsidR="002B730F" w:rsidRDefault="002B730F">
      <w:pPr>
        <w:spacing w:after="0"/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2B730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Číslo veřejnoprávní </w:t>
            </w:r>
            <w:r>
              <w:rPr>
                <w:b/>
              </w:rPr>
              <w:t>smlouvy: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KT/13580/24 /ze dne </w:t>
            </w:r>
            <w:proofErr w:type="gramStart"/>
            <w:r>
              <w:rPr>
                <w:b/>
              </w:rPr>
              <w:t>12.12.2024</w:t>
            </w:r>
            <w:proofErr w:type="gramEnd"/>
          </w:p>
        </w:tc>
      </w:tr>
      <w:tr w:rsidR="002B730F">
        <w:trPr>
          <w:trHeight w:val="67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Název projektu:</w:t>
            </w:r>
          </w:p>
          <w:p w:rsidR="002B730F" w:rsidRDefault="002B730F">
            <w:pPr>
              <w:spacing w:after="0" w:line="360" w:lineRule="auto"/>
              <w:rPr>
                <w:b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  <w:rPr>
                <w:b/>
              </w:rPr>
            </w:pPr>
            <w:r>
              <w:rPr>
                <w:rFonts w:ascii="Times New Roman" w:hAnsi="Times New Roman"/>
                <w:color w:val="000000"/>
              </w:rPr>
              <w:t>Terénní sociální práce pro klienty ze sociálně znevýhodněného prostředí z Litvínova a Janova</w:t>
            </w:r>
          </w:p>
        </w:tc>
      </w:tr>
      <w:tr w:rsidR="002B730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Příjemce neinvestiční dotace: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  <w:rPr>
                <w:b/>
              </w:rPr>
            </w:pPr>
            <w:r>
              <w:rPr>
                <w:rFonts w:ascii="Times New Roman" w:hAnsi="Times New Roman"/>
              </w:rPr>
              <w:t>Společný život</w:t>
            </w:r>
          </w:p>
        </w:tc>
      </w:tr>
      <w:tr w:rsidR="002B730F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Popis realizace projektu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(popište, jak byl podpořený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projekt zrealizován, kým, co vzniklo, co proběhlo v rámci projektu; jaké jsou základní parametry projektu)</w:t>
            </w:r>
          </w:p>
          <w:p w:rsidR="002B730F" w:rsidRDefault="002B730F">
            <w:pPr>
              <w:pStyle w:val="Zkladntex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730F" w:rsidRDefault="0017362F">
            <w:pPr>
              <w:pStyle w:val="Zkladntex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Organizace realizovala v roce 2025 projekt zaměřený na terénní sociální práci pro osoby ze sociálně znevýhodněného prostředí v Litvínově a Janově. </w:t>
            </w:r>
            <w:r>
              <w:rPr>
                <w:rFonts w:ascii="Times New Roman" w:hAnsi="Times New Roman"/>
                <w:sz w:val="24"/>
                <w:szCs w:val="24"/>
              </w:rPr>
              <w:t>Služba byla poskytována osobám žijícím v sociálně vyloučených komunitách, etnickým menšinám, osobám bez přístřeší a osobám, které vedou rizikový způsob života nebo jsou tímto způsobem ohroženy, v souladu s registrem sociální služby.</w:t>
            </w:r>
          </w:p>
          <w:p w:rsidR="002B730F" w:rsidRDefault="002B730F">
            <w:pPr>
              <w:pStyle w:val="Zkladntex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730F" w:rsidRDefault="0017362F">
            <w:pPr>
              <w:pStyle w:val="Zkladntext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rámci projektu byly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poskytovány služby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zájemcům i klientům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Zájemc</w:t>
            </w:r>
            <w:r>
              <w:rPr>
                <w:rStyle w:val="Siln"/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využívali zejména základní sociální poradenství a informace o možnostech řešení jejich situace.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Klientům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kteří byli přijati do služby, byla poskytována po vyhodnocení nepříznivé sociální situace dlouhodobějš</w:t>
            </w:r>
            <w:r>
              <w:rPr>
                <w:rFonts w:ascii="Times New Roman" w:hAnsi="Times New Roman"/>
                <w:sz w:val="24"/>
                <w:szCs w:val="24"/>
              </w:rPr>
              <w:t>í podpora v terénu podle jejich individuálních potřeb.</w:t>
            </w:r>
          </w:p>
          <w:p w:rsidR="002B730F" w:rsidRDefault="0017362F">
            <w:pPr>
              <w:pStyle w:val="Zkladntex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 probíhal obdobně jako v předchozích letech.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Zájemci a klienti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získávali základní informace o právech a povinnostech souvisejících s nájemními vztahy, dávkami, zaměstnaností, zadlužením, možnost</w:t>
            </w:r>
            <w:r>
              <w:rPr>
                <w:rFonts w:ascii="Times New Roman" w:hAnsi="Times New Roman"/>
                <w:sz w:val="24"/>
                <w:szCs w:val="24"/>
              </w:rPr>
              <w:t>mi potrav</w:t>
            </w:r>
            <w:r w:rsidR="004475FD">
              <w:rPr>
                <w:rFonts w:ascii="Times New Roman" w:hAnsi="Times New Roman"/>
                <w:sz w:val="24"/>
                <w:szCs w:val="24"/>
              </w:rPr>
              <w:t>inové a materiální pomoci apod.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Klientům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/>
                <w:sz w:val="24"/>
                <w:szCs w:val="24"/>
              </w:rPr>
              <w:t>yla poskytována také pomoc při sepisování administrativních úkonů a další podpora dle jejich individuálních potřeb v nepříznivé sociální situaci.</w:t>
            </w:r>
          </w:p>
          <w:p w:rsidR="002B730F" w:rsidRDefault="002B730F">
            <w:pPr>
              <w:pStyle w:val="Zkladntext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730F" w:rsidRDefault="0017362F">
            <w:pPr>
              <w:pStyle w:val="Zkladntex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rámci projektu byly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zájemcům a klientům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</w:t>
            </w:r>
            <w:r>
              <w:rPr>
                <w:rFonts w:ascii="Times New Roman" w:hAnsi="Times New Roman"/>
                <w:sz w:val="24"/>
                <w:szCs w:val="24"/>
              </w:rPr>
              <w:t>skytovány tak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é základní činnosti sociální služby dle vyhlášky č. 505/2006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036BCA">
              <w:rPr>
                <w:rFonts w:ascii="Times New Roman" w:hAnsi="Times New Roman"/>
                <w:sz w:val="24"/>
                <w:szCs w:val="24"/>
              </w:rPr>
              <w:t>b.,</w:t>
            </w:r>
            <w:bookmarkStart w:id="0" w:name="_GoBack"/>
            <w:bookmarkEnd w:id="0"/>
            <w:r w:rsidR="006C13D0">
              <w:rPr>
                <w:rFonts w:ascii="Times New Roman" w:hAnsi="Times New Roman"/>
                <w:sz w:val="24"/>
                <w:szCs w:val="24"/>
              </w:rPr>
              <w:t>v</w:t>
            </w:r>
            <w:proofErr w:type="spellEnd"/>
            <w:r w:rsidR="006C13D0">
              <w:rPr>
                <w:rFonts w:ascii="Times New Roman" w:hAnsi="Times New Roman"/>
                <w:sz w:val="24"/>
                <w:szCs w:val="24"/>
              </w:rPr>
              <w:t> platném</w:t>
            </w:r>
            <w:proofErr w:type="gramEnd"/>
            <w:r w:rsidR="006C13D0">
              <w:rPr>
                <w:rFonts w:ascii="Times New Roman" w:hAnsi="Times New Roman"/>
                <w:sz w:val="24"/>
                <w:szCs w:val="24"/>
              </w:rPr>
              <w:t xml:space="preserve"> znění.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Jednalo se zejména o základní sociální poradenství, pomoc při uplatňování práv, oprávněných zájmů a při obstarávání osobních záležitostí, zprostředkování kontak</w:t>
            </w:r>
            <w:r>
              <w:rPr>
                <w:rFonts w:ascii="Times New Roman" w:hAnsi="Times New Roman"/>
                <w:sz w:val="24"/>
                <w:szCs w:val="24"/>
              </w:rPr>
              <w:t>tu se společenským prostředím a další úkony vyplývající z nepříznivé sociální situace.</w:t>
            </w:r>
          </w:p>
          <w:p w:rsidR="002B730F" w:rsidRDefault="0017362F">
            <w:pPr>
              <w:pStyle w:val="Zkladntex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Litvínově a Janově jsme i nadále dle potřeb spolupracovali s pronajímateli bytů při řešení bytové situace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klientů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 souladu se zákonem č. 89/2012 Sb., občanský zákoník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Stejně jako v předchozích letech probíhala spolupráce s Úřadem práce v Litvínově, kde jsme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klienty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dle potřeb doprováz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eli a poskytovali jim podporu při vyřizování dávek.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Zájemcům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byly poskytovány informace o možnostech dávek a podmínkách jejich nároku.</w:t>
            </w:r>
          </w:p>
          <w:p w:rsidR="002B730F" w:rsidRDefault="0017362F">
            <w:pPr>
              <w:pStyle w:val="Zkladntex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le individuálních potřeb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klientů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jsme poskytovali podporu také při jednání na odborech Městského úřadu v Litvínově. O spolupráci nás dle potřeb žádali i pracovníci Úřadu práce v Litvínově, kteří nás kontaktovali</w:t>
            </w:r>
            <w:r w:rsidR="004475FD">
              <w:rPr>
                <w:rFonts w:ascii="Times New Roman" w:hAnsi="Times New Roman"/>
                <w:sz w:val="24"/>
                <w:szCs w:val="24"/>
              </w:rPr>
              <w:t xml:space="preserve"> v případech, kdy to bylo potřebné.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730F" w:rsidRDefault="0017362F">
            <w:pPr>
              <w:pStyle w:val="Zkladntex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Klientům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js</w:t>
            </w:r>
            <w:r>
              <w:rPr>
                <w:rFonts w:ascii="Times New Roman" w:hAnsi="Times New Roman"/>
                <w:sz w:val="24"/>
                <w:szCs w:val="24"/>
              </w:rPr>
              <w:t>me pomáhali při sepisování administrativních úkonů na úřady a instituce.  Spolupráce probíhala také s Krizovou poradnou v Mostě, kde byla po vyhodnocení nepříznivé sociální situace poskytována potravinová pomoc, zejména rodinám s nezletilými dětmi. Dále js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me spolupracovali s Nábytkovou bankou Ústeckého kraje, kde jsme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klientům</w:t>
            </w:r>
            <w:r w:rsidR="000C5828">
              <w:rPr>
                <w:rFonts w:ascii="Times New Roman" w:hAnsi="Times New Roman"/>
                <w:sz w:val="24"/>
                <w:szCs w:val="24"/>
              </w:rPr>
              <w:t xml:space="preserve"> po vyhodnocení nepříznivé soc.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situace</w:t>
            </w:r>
            <w:r w:rsidR="000C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zprostředkovávali materiální pomoc (použitý nábytek, elektrospotřebiče, nádobí, textil apod.).</w:t>
            </w:r>
          </w:p>
          <w:p w:rsidR="002B730F" w:rsidRDefault="0017362F">
            <w:pPr>
              <w:pStyle w:val="Zkladntex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Stejně jako v předchozích letech probíhala spolup</w:t>
            </w:r>
            <w:r>
              <w:rPr>
                <w:rFonts w:ascii="Times New Roman" w:hAnsi="Times New Roman"/>
                <w:sz w:val="24"/>
                <w:szCs w:val="24"/>
              </w:rPr>
              <w:t>ráce s Úřadem práce v Litvínově (oddělení zprostředkování, evidence a podpory v nezaměstnanosti).</w:t>
            </w:r>
          </w:p>
          <w:p w:rsidR="002B730F" w:rsidRDefault="0017362F">
            <w:pPr>
              <w:pStyle w:val="Zkladntex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Zájemcům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byly poskytovány informace o právech a povinnostech dle zákona č. 435/2004 Sb., o zaměstnanosti.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Klientům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jsme dle potřeb poskytovali doprovody na jednání. Probíhala také spolupráce se zaměstnavateli v regionu a okolí,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klientům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byly poskytovány aktuální informace o pracovních možnostech včetně kontaktů. Dále se jednalo o poskytování informací o rekvalifikacích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 rámci APZ za účelem lepšího uplatnění na trhu práce v regionu a okolí.</w:t>
            </w:r>
          </w:p>
          <w:p w:rsidR="002B730F" w:rsidRDefault="0017362F">
            <w:pPr>
              <w:pStyle w:val="Zkladntext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Spolupráce probíhala dle potřeb také s poskytovateli sociálních služeb v regionu a s odborem sociálních věcí a školství v Litvínově. Aktivity realizované v roce 2025 měly pozitivní dopad na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klienty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 cílové skupiny, obdobně jako v předchozích letech. S ohl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edem na dlouhodobě přetrvávající nepříznivé sociální problémy, které se u cílové skupiny vyskytují (zejména v Janově), je nadále vhodné poskytovat sociální službu formou terénní práce. Tato forma podpory má dle naší praxe významný dopad zejména na </w:t>
            </w:r>
            <w:r>
              <w:rPr>
                <w:rStyle w:val="Siln"/>
                <w:rFonts w:ascii="Times New Roman" w:hAnsi="Times New Roman"/>
                <w:b w:val="0"/>
                <w:bCs w:val="0"/>
                <w:sz w:val="24"/>
                <w:szCs w:val="24"/>
              </w:rPr>
              <w:t>klienty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kteří se z různých důvodů obávají vyhledat pomoc na úřadech a institucích v regionu.</w:t>
            </w:r>
          </w:p>
          <w:p w:rsidR="002B730F" w:rsidRDefault="0017362F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 roce 2025 bylo uskutečněno 9204 kontaktů. Úhrada projektu byla financována z dotace města Litvínova dle smlouvy číslo KT/13580/24  ve výši  10 000Kč.</w:t>
            </w:r>
          </w:p>
        </w:tc>
      </w:tr>
      <w:tr w:rsidR="002B730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Skutečný začátek </w:t>
            </w:r>
            <w:r>
              <w:rPr>
                <w:b/>
              </w:rPr>
              <w:t>a konec realizace projektu: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  <w:rPr>
                <w:b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1.1.2025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31.12.2025</w:t>
            </w:r>
          </w:p>
        </w:tc>
      </w:tr>
    </w:tbl>
    <w:p w:rsidR="002B730F" w:rsidRDefault="0017362F">
      <w:r>
        <w:t>U příjemců dotace, kteří mohou uplatnit odpočet DPH na vstupu, se náklady uvádějí bez DPH. Ostatní příjemci dotace uvádějí náklady včetně DPH.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7762"/>
        <w:gridCol w:w="1450"/>
      </w:tblGrid>
      <w:tr w:rsidR="002B730F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2B730F" w:rsidRDefault="0017362F">
            <w:pPr>
              <w:spacing w:after="0" w:line="360" w:lineRule="auto"/>
            </w:pPr>
            <w:r>
              <w:rPr>
                <w:b/>
              </w:rPr>
              <w:t xml:space="preserve">Plátcovství DPH u příjemce </w:t>
            </w:r>
            <w:r>
              <w:rPr>
                <w:i/>
              </w:rPr>
              <w:t>(zakřížkujte vhodnou variantu)</w:t>
            </w:r>
          </w:p>
        </w:tc>
      </w:tr>
      <w:tr w:rsidR="002B730F"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 xml:space="preserve">Příjemce dotace je plátcem DPH a u zdanitelných plnění přijatých v souvislosti s financováním daného projektu </w:t>
            </w:r>
            <w:r>
              <w:rPr>
                <w:b/>
              </w:rPr>
              <w:t xml:space="preserve">nemá </w:t>
            </w:r>
            <w:r>
              <w:t>nárok na odpočet daně z přidané hodnoty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2B730F">
            <w:pPr>
              <w:spacing w:after="0" w:line="360" w:lineRule="auto"/>
            </w:pPr>
          </w:p>
          <w:p w:rsidR="002B730F" w:rsidRDefault="002B730F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jc w:val="center"/>
            </w:pPr>
          </w:p>
        </w:tc>
      </w:tr>
      <w:tr w:rsidR="002B730F"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Příjemce dotace je plátcem DPH a u zdanitelných plnění přijatých v souvislosti s financováním dané</w:t>
            </w:r>
            <w:r>
              <w:t xml:space="preserve">ho projektu </w:t>
            </w:r>
            <w:r>
              <w:rPr>
                <w:b/>
              </w:rPr>
              <w:t xml:space="preserve">má </w:t>
            </w:r>
            <w:r>
              <w:t>nárok na odpočet daně z přidané hodnoty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2B730F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jc w:val="center"/>
            </w:pPr>
          </w:p>
        </w:tc>
      </w:tr>
      <w:tr w:rsidR="002B730F"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t>Příjemce dotace není plátcem DPH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>Není  plátcem</w:t>
            </w:r>
          </w:p>
        </w:tc>
      </w:tr>
    </w:tbl>
    <w:p w:rsidR="002B730F" w:rsidRDefault="002B730F"/>
    <w:p w:rsidR="002B730F" w:rsidRDefault="001736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rPr>
          <w:b/>
        </w:rPr>
      </w:pPr>
      <w:r>
        <w:rPr>
          <w:b/>
        </w:rPr>
        <w:t xml:space="preserve">Povinné přílohy </w:t>
      </w:r>
    </w:p>
    <w:p w:rsidR="002B730F" w:rsidRDefault="0017362F">
      <w:pPr>
        <w:jc w:val="both"/>
      </w:pPr>
      <w:r>
        <w:t xml:space="preserve">- </w:t>
      </w:r>
      <w:r>
        <w:rPr>
          <w:b/>
        </w:rPr>
        <w:t>účetní sestava zobrazující řádné a oddělené sledování</w:t>
      </w:r>
      <w:r>
        <w:t xml:space="preserve"> poskytnuté neinvestiční dotace v souladu se zákonem č. 563/1991 Sb., o účetn</w:t>
      </w:r>
      <w:r>
        <w:t>ictví ve znění pozdějších předpisů (údaj o sledování dle analytického účetního členění či jiné zvolené formě odděleného sledování použití dotace, např. středisko, účelový znak popř. jiný identifikátor);</w:t>
      </w:r>
    </w:p>
    <w:p w:rsidR="002B730F" w:rsidRDefault="0017362F">
      <w:pPr>
        <w:jc w:val="both"/>
      </w:pPr>
      <w:r>
        <w:t xml:space="preserve">- </w:t>
      </w:r>
      <w:r>
        <w:rPr>
          <w:b/>
        </w:rPr>
        <w:t>účetní doklady</w:t>
      </w:r>
      <w:r>
        <w:t xml:space="preserve"> hrazené z poskytnuté dotace; kopie účetních dokladů (faktury, účtenky/paragony) se všemi náležitostmi v souladu se zákonem č. 563/1991 Sb., o účetnictví, v platném znění a ve znění pozdějších předpisů; u účetních dokladů, které nejsou plně hrazeny z dotac</w:t>
      </w:r>
      <w:r>
        <w:t>e, je třeba uvést výši částky hrazené z dotace včetně dokladů o provedených platbách (kopie výpisu z účtu</w:t>
      </w:r>
      <w:r>
        <w:t xml:space="preserve"> nebo výdajový pokladní doklad);</w:t>
      </w:r>
    </w:p>
    <w:p w:rsidR="002B730F" w:rsidRDefault="0017362F">
      <w:pPr>
        <w:spacing w:after="0"/>
        <w:jc w:val="both"/>
      </w:pPr>
      <w:r>
        <w:t xml:space="preserve">- </w:t>
      </w:r>
      <w:r>
        <w:rPr>
          <w:b/>
        </w:rPr>
        <w:t xml:space="preserve">doklad o splnění publicity, </w:t>
      </w:r>
      <w:r>
        <w:t>tzn., že všechny doklady musí být označeny předepsaným textem;</w:t>
      </w:r>
    </w:p>
    <w:p w:rsidR="002B730F" w:rsidRDefault="002B730F">
      <w:pPr>
        <w:spacing w:after="0"/>
        <w:jc w:val="both"/>
      </w:pPr>
    </w:p>
    <w:p w:rsidR="002B730F" w:rsidRDefault="0017362F">
      <w:pPr>
        <w:jc w:val="both"/>
      </w:pPr>
      <w:r>
        <w:t xml:space="preserve">- </w:t>
      </w:r>
      <w:r>
        <w:rPr>
          <w:b/>
        </w:rPr>
        <w:t>kopie smluvních vztahů</w:t>
      </w:r>
      <w:r>
        <w:t xml:space="preserve"> na nákup služeb (pronájmy movitých věcí, trenérské služby apod.).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2660"/>
        <w:gridCol w:w="6552"/>
      </w:tblGrid>
      <w:tr w:rsidR="002B730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rPr>
                <w:b/>
              </w:rPr>
              <w:t xml:space="preserve">Vyúčtování zpracoval: </w:t>
            </w:r>
          </w:p>
          <w:p w:rsidR="002B730F" w:rsidRDefault="0017362F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lastRenderedPageBreak/>
              <w:t>(jméno, tel., popř. e-mail)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30F" w:rsidRDefault="0017362F">
            <w:pPr>
              <w:spacing w:after="0" w:line="360" w:lineRule="auto"/>
            </w:pPr>
            <w:r>
              <w:lastRenderedPageBreak/>
              <w:t>Paní  Renata Možná  - účetní organizace</w:t>
            </w:r>
          </w:p>
          <w:p w:rsidR="002B730F" w:rsidRDefault="0017362F">
            <w:pPr>
              <w:spacing w:after="0" w:line="360" w:lineRule="auto"/>
            </w:pPr>
            <w:r>
              <w:lastRenderedPageBreak/>
              <w:t>Tel:  604 270 306</w:t>
            </w:r>
          </w:p>
        </w:tc>
      </w:tr>
    </w:tbl>
    <w:p w:rsidR="002B730F" w:rsidRDefault="0017362F">
      <w:r>
        <w:lastRenderedPageBreak/>
        <w:t>V  Meziboří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dne </w:t>
      </w:r>
      <w:proofErr w:type="gramStart"/>
      <w:r>
        <w:t>16.3.2026</w:t>
      </w:r>
      <w:proofErr w:type="gramEnd"/>
    </w:p>
    <w:p w:rsidR="002B730F" w:rsidRDefault="0017362F">
      <w:pPr>
        <w:spacing w:line="240" w:lineRule="auto"/>
      </w:pPr>
      <w:r>
        <w:t>Razítko, jméno a podpis statutárního zástupce*</w:t>
      </w:r>
      <w:r>
        <w:rPr>
          <w:vertAlign w:val="superscript"/>
        </w:rPr>
        <w:t xml:space="preserve"> </w:t>
      </w:r>
      <w:r>
        <w:t xml:space="preserve">    Ondřej Kocur</w:t>
      </w:r>
    </w:p>
    <w:p w:rsidR="002B730F" w:rsidRDefault="0017362F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*statutární zástupce svým podpisem potvrzuje pravdivost a správnost závěrečné zprávy a finančního vypořádání dotace</w:t>
      </w:r>
    </w:p>
    <w:p w:rsidR="002B730F" w:rsidRDefault="001736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B8B7"/>
        <w:spacing w:line="240" w:lineRule="auto"/>
        <w:rPr>
          <w:b/>
        </w:rPr>
      </w:pPr>
      <w:r>
        <w:rPr>
          <w:b/>
        </w:rPr>
        <w:t>Vyplňuje poskytovatel dotace:</w:t>
      </w:r>
    </w:p>
    <w:p w:rsidR="002B730F" w:rsidRDefault="001736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B8B7"/>
        <w:spacing w:line="240" w:lineRule="auto"/>
      </w:pPr>
      <w:r>
        <w:t xml:space="preserve">Kontrolu závěrečné zprávy a finančního vypořádání dotace provedl: </w:t>
      </w:r>
    </w:p>
    <w:p w:rsidR="002B730F" w:rsidRDefault="001736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B8B7"/>
        <w:spacing w:line="240" w:lineRule="auto"/>
      </w:pPr>
      <w:r>
        <w:t xml:space="preserve">………………………………………………………………………………………………………….  </w:t>
      </w:r>
      <w:proofErr w:type="gramStart"/>
      <w:r>
        <w:t>dne</w:t>
      </w:r>
      <w:proofErr w:type="gramEnd"/>
      <w:r>
        <w:t xml:space="preserve"> ……………</w:t>
      </w:r>
    </w:p>
    <w:p w:rsidR="002B730F" w:rsidRDefault="001736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B8B7"/>
        <w:spacing w:line="240" w:lineRule="auto"/>
      </w:pPr>
      <w:r>
        <w:t>Podpis vedoucí odboru sociálních věcí a školství:</w:t>
      </w:r>
    </w:p>
    <w:sectPr w:rsidR="002B730F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B0E7F"/>
    <w:multiLevelType w:val="multilevel"/>
    <w:tmpl w:val="7E6A3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07517E"/>
    <w:multiLevelType w:val="multilevel"/>
    <w:tmpl w:val="1E0CFD0E"/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0F"/>
    <w:rsid w:val="00036BCA"/>
    <w:rsid w:val="000C5828"/>
    <w:rsid w:val="0017362F"/>
    <w:rsid w:val="002B730F"/>
    <w:rsid w:val="004475FD"/>
    <w:rsid w:val="0048209D"/>
    <w:rsid w:val="006C13D0"/>
    <w:rsid w:val="00C26006"/>
    <w:rsid w:val="00CA4BDA"/>
    <w:rsid w:val="00C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F198"/>
  <w15:docId w15:val="{15D190B4-CFAD-4145-B4A8-D9294D6A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106E5"/>
  </w:style>
  <w:style w:type="character" w:customStyle="1" w:styleId="ZpatChar">
    <w:name w:val="Zápatí Char"/>
    <w:basedOn w:val="Standardnpsmoodstavce"/>
    <w:link w:val="Zpat"/>
    <w:uiPriority w:val="99"/>
    <w:qFormat/>
    <w:rsid w:val="00E106E5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E106E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E106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787A41"/>
    <w:pPr>
      <w:widowControl w:val="0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Malcekova Katerina</dc:creator>
  <dc:description/>
  <cp:lastModifiedBy>Doma</cp:lastModifiedBy>
  <cp:revision>2</cp:revision>
  <cp:lastPrinted>2026-03-16T17:34:00Z</cp:lastPrinted>
  <dcterms:created xsi:type="dcterms:W3CDTF">2026-03-16T17:37:00Z</dcterms:created>
  <dcterms:modified xsi:type="dcterms:W3CDTF">2026-03-16T17:37:00Z</dcterms:modified>
  <dc:language>cs-CZ</dc:language>
</cp:coreProperties>
</file>